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F" w:rsidRPr="006809B0" w:rsidRDefault="00406418">
      <w:pPr>
        <w:rPr>
          <w:lang w:val="en-US"/>
        </w:rPr>
      </w:pPr>
      <w:r>
        <w:rPr>
          <w:bCs/>
          <w:lang w:val="en-US"/>
        </w:rPr>
        <w:t>S</w:t>
      </w:r>
      <w:r w:rsidRPr="001477C6">
        <w:rPr>
          <w:bCs/>
          <w:lang w:val="en-US"/>
        </w:rPr>
        <w:t>upplementary material</w:t>
      </w:r>
      <w:r>
        <w:rPr>
          <w:bCs/>
          <w:lang w:val="en-US"/>
        </w:rPr>
        <w:t xml:space="preserve"> 2 </w:t>
      </w:r>
      <w:r w:rsidRPr="00E63F0E">
        <w:rPr>
          <w:i/>
          <w:color w:val="1F4E79" w:themeColor="accent1" w:themeShade="80"/>
          <w:lang w:val="en-US"/>
        </w:rPr>
        <w:t xml:space="preserve">Table B: </w:t>
      </w:r>
      <w:r w:rsidR="0033078A" w:rsidRPr="00FD2113">
        <w:rPr>
          <w:i/>
          <w:color w:val="1F4E79" w:themeColor="accent1" w:themeShade="80"/>
          <w:lang w:val="en-US"/>
        </w:rPr>
        <w:t>Supple</w:t>
      </w:r>
      <w:r w:rsidR="0033078A">
        <w:rPr>
          <w:i/>
          <w:color w:val="1F4E79" w:themeColor="accent1" w:themeShade="80"/>
          <w:lang w:val="en-US"/>
        </w:rPr>
        <w:t>mentation of ecosystem types (E</w:t>
      </w:r>
      <w:r w:rsidR="0033078A" w:rsidRPr="00FD2113">
        <w:rPr>
          <w:i/>
          <w:color w:val="1F4E79" w:themeColor="accent1" w:themeShade="80"/>
          <w:lang w:val="en-US"/>
        </w:rPr>
        <w:t>T</w:t>
      </w:r>
      <w:r w:rsidR="0033078A">
        <w:rPr>
          <w:i/>
          <w:color w:val="1F4E79" w:themeColor="accent1" w:themeShade="80"/>
          <w:lang w:val="en-US"/>
        </w:rPr>
        <w:t>s</w:t>
      </w:r>
      <w:r w:rsidR="0033078A" w:rsidRPr="00FD2113">
        <w:rPr>
          <w:i/>
          <w:color w:val="1F4E79" w:themeColor="accent1" w:themeShade="80"/>
          <w:lang w:val="en-US"/>
        </w:rPr>
        <w:t>) by more differentiated spatially and non-spatially explicit data (system of assignment of biotope and habitat types relevan</w:t>
      </w:r>
      <w:r w:rsidR="0033078A">
        <w:rPr>
          <w:i/>
          <w:color w:val="1F4E79" w:themeColor="accent1" w:themeShade="80"/>
          <w:lang w:val="en-US"/>
        </w:rPr>
        <w:t>t for nature conservation to ETs</w:t>
      </w:r>
      <w:r w:rsidR="0033078A" w:rsidRPr="00E63F0E">
        <w:rPr>
          <w:i/>
          <w:color w:val="1F4E79" w:themeColor="accent1" w:themeShade="80"/>
          <w:lang w:val="en-US"/>
        </w:rPr>
        <w:t xml:space="preserve"> </w:t>
      </w:r>
    </w:p>
    <w:tbl>
      <w:tblPr>
        <w:tblStyle w:val="Tabellenraster"/>
        <w:tblpPr w:leftFromText="141" w:rightFromText="141" w:vertAnchor="text" w:tblpY="1"/>
        <w:tblW w:w="127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5"/>
        <w:gridCol w:w="842"/>
        <w:gridCol w:w="706"/>
        <w:gridCol w:w="1697"/>
        <w:gridCol w:w="989"/>
        <w:gridCol w:w="4184"/>
        <w:gridCol w:w="3622"/>
      </w:tblGrid>
      <w:tr w:rsidR="00F700EA" w:rsidRPr="00191F33" w:rsidTr="00F700EA">
        <w:tc>
          <w:tcPr>
            <w:tcW w:w="562" w:type="dxa"/>
            <w:shd w:val="clear" w:color="auto" w:fill="E7E6E6" w:themeFill="background2"/>
          </w:tcPr>
          <w:p w:rsidR="00F700EA" w:rsidRPr="006809B0" w:rsidRDefault="00C62152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Main EST</w:t>
            </w:r>
          </w:p>
        </w:tc>
        <w:tc>
          <w:tcPr>
            <w:tcW w:w="851" w:type="dxa"/>
            <w:shd w:val="clear" w:color="auto" w:fill="E7E6E6" w:themeFill="background2"/>
          </w:tcPr>
          <w:p w:rsidR="00F700EA" w:rsidRPr="006809B0" w:rsidRDefault="00C62152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Sub EST</w:t>
            </w:r>
          </w:p>
        </w:tc>
        <w:tc>
          <w:tcPr>
            <w:tcW w:w="709" w:type="dxa"/>
            <w:shd w:val="clear" w:color="auto" w:fill="E7E6E6" w:themeFill="background2"/>
          </w:tcPr>
          <w:p w:rsidR="00F700EA" w:rsidRPr="006809B0" w:rsidRDefault="00F700EA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CLC code</w:t>
            </w:r>
          </w:p>
        </w:tc>
        <w:tc>
          <w:tcPr>
            <w:tcW w:w="1701" w:type="dxa"/>
            <w:shd w:val="clear" w:color="auto" w:fill="E7E6E6" w:themeFill="background2"/>
          </w:tcPr>
          <w:p w:rsidR="00F700EA" w:rsidRPr="006809B0" w:rsidRDefault="00F700EA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CLC-class name</w:t>
            </w:r>
          </w:p>
        </w:tc>
        <w:tc>
          <w:tcPr>
            <w:tcW w:w="994" w:type="dxa"/>
            <w:shd w:val="clear" w:color="auto" w:fill="E7E6E6" w:themeFill="background2"/>
          </w:tcPr>
          <w:p w:rsidR="00F700EA" w:rsidRPr="006809B0" w:rsidRDefault="00F700EA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Habitat code</w:t>
            </w:r>
          </w:p>
        </w:tc>
        <w:tc>
          <w:tcPr>
            <w:tcW w:w="4253" w:type="dxa"/>
            <w:shd w:val="clear" w:color="auto" w:fill="E7E6E6" w:themeFill="background2"/>
          </w:tcPr>
          <w:p w:rsidR="00F700EA" w:rsidRPr="006809B0" w:rsidRDefault="00F700EA" w:rsidP="00F700E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NATURA 2000 name / </w:t>
            </w:r>
            <w:r w:rsidR="009E33C1" w:rsidRPr="006809B0">
              <w:rPr>
                <w:rStyle w:val="A2"/>
                <w:b/>
                <w:color w:val="auto"/>
                <w:sz w:val="20"/>
                <w:szCs w:val="20"/>
                <w:lang w:val="en-US"/>
              </w:rPr>
              <w:t>HNV farmland types</w:t>
            </w:r>
          </w:p>
        </w:tc>
        <w:tc>
          <w:tcPr>
            <w:tcW w:w="3685" w:type="dxa"/>
            <w:shd w:val="clear" w:color="auto" w:fill="E7E6E6" w:themeFill="background2"/>
          </w:tcPr>
          <w:p w:rsidR="00F700EA" w:rsidRPr="006809B0" w:rsidRDefault="00150439" w:rsidP="0015043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National habitat types by </w:t>
            </w:r>
            <w:r w:rsidR="00F700EA"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Mengel et al. 2018, Anlage 2</w:t>
            </w:r>
            <w:r w:rsidR="00F700EA" w:rsidRPr="006809B0">
              <w:rPr>
                <w:rStyle w:val="Endnotenzeichen"/>
                <w:rFonts w:eastAsia="Times New Roman" w:cs="Arial"/>
                <w:b/>
                <w:sz w:val="20"/>
                <w:szCs w:val="20"/>
                <w:lang w:val="en-US" w:eastAsia="de-DE"/>
              </w:rPr>
              <w:endnoteReference w:id="1"/>
            </w:r>
            <w:r w:rsidRPr="006809B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used for valuation</w:t>
            </w:r>
          </w:p>
        </w:tc>
      </w:tr>
      <w:tr w:rsidR="00F700EA" w:rsidRPr="00191F33" w:rsidTr="00F700EA">
        <w:trPr>
          <w:trHeight w:val="246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7B6EC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1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Semi-natural open areas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191F33" w:rsidP="00191F3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>
              <w:rPr>
                <w:rFonts w:cs="Arial"/>
                <w:sz w:val="20"/>
                <w:lang w:val="en-US"/>
              </w:rPr>
              <w:t xml:space="preserve">Natural </w:t>
            </w:r>
            <w:bookmarkStart w:id="0" w:name="_GoBack"/>
            <w:r>
              <w:rPr>
                <w:rFonts w:cs="Arial"/>
                <w:sz w:val="20"/>
                <w:lang w:val="en-US"/>
              </w:rPr>
              <w:t>g</w:t>
            </w:r>
            <w:r w:rsidR="009E33C1" w:rsidRPr="006809B0">
              <w:rPr>
                <w:rFonts w:cs="Arial"/>
                <w:sz w:val="20"/>
                <w:lang w:val="en-US"/>
              </w:rPr>
              <w:t>rass</w:t>
            </w:r>
            <w:bookmarkEnd w:id="0"/>
            <w:r w:rsidR="009E33C1" w:rsidRPr="006809B0">
              <w:rPr>
                <w:rFonts w:cs="Arial"/>
                <w:sz w:val="20"/>
                <w:lang w:val="en-US"/>
              </w:rPr>
              <w:t>land and heathland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theme="minorHAnsi"/>
                <w:sz w:val="20"/>
                <w:szCs w:val="20"/>
                <w:lang w:val="en-US" w:eastAsia="de-DE"/>
              </w:rPr>
              <w:t>321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Natural grassland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521BF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6110*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521BFC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Rupicolous calcareous or basophilic grasslands of the Alysso-Sedion albi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3454F2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</w:t>
            </w:r>
            <w:r w:rsidR="00F700EA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lement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 from</w:t>
            </w:r>
            <w:r w:rsidR="00F700EA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: 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34.01 - 34.07a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Xeric, Semi-dry, Steppic, </w:t>
            </w:r>
            <w:r w:rsidR="00C3633E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Dry sandy,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Heavy-metal grassland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Mat-grass swards, Species-rich grassland on moist sites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35.02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Grassland on wet or damp sites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39.01, 03, 04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Forest and woodland vegetation, Clear-cutting and forest clearing vegetation, Riparian herbaceous fringes or vegetation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64.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Snow accumulation areas and snowfield communities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66.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Montane swards of the subalpine to alpine zones</w:t>
            </w:r>
          </w:p>
          <w:p w:rsidR="00F700EA" w:rsidRPr="006809B0" w:rsidRDefault="00F700EA" w:rsidP="003454F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67. </w:t>
            </w:r>
            <w:r w:rsidR="003454F2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Tall herbaceous communities of the high montane to alpine zones</w:t>
            </w:r>
          </w:p>
        </w:tc>
      </w:tr>
      <w:tr w:rsidR="00F700EA" w:rsidRPr="006809B0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6120*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332BA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X</w:t>
            </w:r>
            <w:r w:rsidR="00332BA4" w:rsidRPr="006809B0">
              <w:rPr>
                <w:color w:val="000000"/>
                <w:sz w:val="20"/>
                <w:szCs w:val="20"/>
                <w:lang w:val="en-US"/>
              </w:rPr>
              <w:t>eric sand calcareous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6130*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Calaminarian grasslands of the Violetalia calaminariae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6150*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Siliceous alpine and boreal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6170*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and subalpine calcareous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6210*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332BA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Semi-natural dry grasslands and scrubland facies on calcareous substrates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6230*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332BA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Species-rich Nardus grasslands, on silicious substrates in mountain areas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54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6240*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Sub-Pannonic steppic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6410*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332BA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Molinia meadows on calcareous, p</w:t>
            </w:r>
            <w:r w:rsidR="00332BA4" w:rsidRPr="006809B0">
              <w:rPr>
                <w:color w:val="000000"/>
                <w:sz w:val="20"/>
                <w:szCs w:val="20"/>
                <w:lang w:val="en-US"/>
              </w:rPr>
              <w:t>eaty or clayey-silt-laden soils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6430*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Hydrophilous tall herb fringe communities of plains and of the montane to alpine levels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6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6440*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Alluvial meadows of river valleys of the Cnidion dubii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C222F2">
        <w:trPr>
          <w:trHeight w:hRule="exact" w:val="282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6510*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332BA4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sz w:val="20"/>
                <w:szCs w:val="20"/>
                <w:lang w:val="en-US"/>
              </w:rPr>
              <w:t xml:space="preserve">Lowland hay meadows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hRule="exact" w:val="23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6520*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4226B8" w:rsidP="007B6ECC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sz w:val="20"/>
                <w:szCs w:val="20"/>
                <w:lang w:val="en-US"/>
              </w:rPr>
              <w:t>Mountain hay meadows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Moors and heathland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332BA4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32BA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Decalcified fixed dunes with Empetrum nigrum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Element</w:t>
            </w:r>
            <w:r w:rsidR="003454F2" w:rsidRPr="006809B0">
              <w:rPr>
                <w:color w:val="000000"/>
                <w:sz w:val="20"/>
                <w:szCs w:val="20"/>
                <w:lang w:val="en-US"/>
              </w:rPr>
              <w:t>s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454F2" w:rsidRPr="006809B0">
              <w:rPr>
                <w:color w:val="000000"/>
                <w:sz w:val="20"/>
                <w:szCs w:val="20"/>
                <w:lang w:val="en-US"/>
              </w:rPr>
              <w:t>from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10.04 </w:t>
            </w:r>
            <w:r w:rsidR="003454F2" w:rsidRPr="006809B0">
              <w:rPr>
                <w:color w:val="000000"/>
                <w:sz w:val="20"/>
                <w:szCs w:val="20"/>
                <w:lang w:val="en-US"/>
              </w:rPr>
              <w:t>‚Brown‘ dunes (coastal dune heathland)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10.06 </w:t>
            </w:r>
            <w:r w:rsidR="006A7F5C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Dune scrubs</w:t>
            </w:r>
          </w:p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34.04 </w:t>
            </w:r>
            <w:r w:rsidR="006A7F5C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Dry sandy grassland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40. </w:t>
            </w:r>
            <w:r w:rsidR="006A7F5C" w:rsidRPr="006809B0">
              <w:rPr>
                <w:color w:val="000000"/>
                <w:sz w:val="20"/>
                <w:szCs w:val="20"/>
                <w:lang w:val="en-US"/>
              </w:rPr>
              <w:t>Dwarf-shrub heaths</w:t>
            </w:r>
          </w:p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41. </w:t>
            </w:r>
            <w:r w:rsidR="006A7F5C" w:rsidRPr="006809B0">
              <w:rPr>
                <w:color w:val="000000"/>
                <w:sz w:val="20"/>
                <w:szCs w:val="20"/>
                <w:lang w:val="en-US"/>
              </w:rPr>
              <w:t>Copses, thickets, scrub, hedges and cultivated woody plants</w:t>
            </w:r>
          </w:p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68. </w:t>
            </w:r>
            <w:r w:rsidR="006A7F5C" w:rsidRPr="006809B0">
              <w:rPr>
                <w:color w:val="000000"/>
                <w:sz w:val="20"/>
                <w:szCs w:val="20"/>
                <w:lang w:val="en-US"/>
              </w:rPr>
              <w:t>Dwarf-shrub heaths of the subalpine to alpine zones</w:t>
            </w:r>
          </w:p>
          <w:p w:rsidR="00F700EA" w:rsidRPr="006809B0" w:rsidRDefault="00F700EA" w:rsidP="006A7F5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lastRenderedPageBreak/>
              <w:t xml:space="preserve">69. </w:t>
            </w:r>
            <w:r w:rsidR="006A7F5C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Scrub communities of the sublalpine to alpine zones</w:t>
            </w:r>
          </w:p>
        </w:tc>
      </w:tr>
      <w:tr w:rsidR="00F700EA" w:rsidRPr="006809B0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332BA4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2150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32BA4" w:rsidP="00332B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Atlantic decalcified fixed dunes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32BA4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Dunes with Hippophaë rhamnoides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2170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32BA4" w:rsidP="00332B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Dunes with Salix repens ssp. argentea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2310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Dry sand heaths with Calluna and Genista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2320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Dry sand heaths with Calluna and Empetrum nigrum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93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2330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Inland dunes withopen Corynephorus and Agrostis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Northern Atlantic wet heaths with Erica tetralix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European dry heaths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and Boreal heaths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4070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C222F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Bushes with Pinus mugo and Rhododendron hirsutum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4080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C222F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Sub-Arctic Salix spp. scrub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40A0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Subcontinental peri-Pannonic scrub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C222F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Stable xerothermophilous formations with Buxus sempervirens on rock slopes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0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5130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Juniperus communis formations on heaths or calcareous grasslands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HNV-H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C222F2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Hedges, scrub including fringe vegetation, and copses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34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theme="minorHAnsi"/>
                <w:sz w:val="20"/>
                <w:szCs w:val="20"/>
                <w:lang w:val="en-US" w:eastAsia="de-DE"/>
              </w:rPr>
              <w:t>1.2</w:t>
            </w:r>
            <w:r w:rsidRPr="006809B0">
              <w:rPr>
                <w:lang w:val="en-US"/>
              </w:rPr>
              <w:t xml:space="preserve"> 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Wetlands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Inland marshes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Inland salt meadows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6E5D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Element</w:t>
            </w:r>
            <w:r w:rsidR="00C3633E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 from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: </w:t>
            </w:r>
          </w:p>
          <w:p w:rsidR="00F700EA" w:rsidRPr="006809B0" w:rsidRDefault="00F700EA" w:rsidP="006E5D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08.01 - 05 </w:t>
            </w:r>
            <w:r w:rsidR="00C3633E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Salt marshes, brackish reedbeds and tall herb vegetation of the Baltic geolittoral coastal zone</w:t>
            </w:r>
          </w:p>
          <w:p w:rsidR="00F700EA" w:rsidRPr="006809B0" w:rsidRDefault="00F700EA" w:rsidP="006E5D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22.01, 03 </w:t>
            </w:r>
            <w:r w:rsidR="00C3633E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Seepage and marshy springs, Pooling springs</w:t>
            </w:r>
          </w:p>
          <w:p w:rsidR="00F700EA" w:rsidRPr="006809B0" w:rsidRDefault="00F700EA" w:rsidP="006E5D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24.06 </w:t>
            </w:r>
            <w:r w:rsidR="00150439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Saline inland waters</w:t>
            </w:r>
          </w:p>
          <w:p w:rsidR="00F700EA" w:rsidRPr="006809B0" w:rsidRDefault="00F700EA" w:rsidP="006E5D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35.01 </w:t>
            </w:r>
            <w:r w:rsidR="006D77A6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F</w:t>
            </w:r>
            <w:r w:rsidR="00150439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ens and swamps free of woodland</w:t>
            </w:r>
          </w:p>
          <w:p w:rsidR="00F700EA" w:rsidRPr="006809B0" w:rsidRDefault="00F700EA" w:rsidP="006E5D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37. </w:t>
            </w:r>
            <w:r w:rsidR="00A35AE4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Large sedge swamps</w:t>
            </w:r>
          </w:p>
          <w:p w:rsidR="00F700EA" w:rsidRPr="006809B0" w:rsidRDefault="00F700EA" w:rsidP="00A35AE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38. </w:t>
            </w:r>
            <w:r w:rsidR="00A35AE4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Reedbeds</w:t>
            </w:r>
          </w:p>
        </w:tc>
      </w:tr>
      <w:tr w:rsidR="00F700EA" w:rsidRPr="00191F33" w:rsidTr="00F700EA">
        <w:trPr>
          <w:trHeight w:val="2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7210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Calcareous fens with Cladium mariscus and species of the Caricion davallianae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7220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F3394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Petrifying springs with tufa formation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2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7230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Alkaline fens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7240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pioneer formations of the Caricion bicoloris-atrofuscae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34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HNV-S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F3394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Sedge and reedbeds, herbaceous waterbody fringes, wetland elements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1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Peatbogs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Active raised bogs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36.01 - 03a </w:t>
            </w:r>
            <w:r w:rsidR="00D92D59" w:rsidRPr="006809B0">
              <w:rPr>
                <w:color w:val="000000"/>
                <w:sz w:val="20"/>
                <w:szCs w:val="20"/>
                <w:lang w:val="en-US"/>
              </w:rPr>
              <w:t>Raised bogs, transition mires and degeneration stages of raised bogs</w:t>
            </w:r>
          </w:p>
          <w:p w:rsidR="00F700EA" w:rsidRPr="006809B0" w:rsidRDefault="00F700EA" w:rsidP="006809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65. </w:t>
            </w:r>
            <w:r w:rsidR="00D92D59" w:rsidRPr="006809B0">
              <w:rPr>
                <w:color w:val="000000"/>
                <w:sz w:val="20"/>
                <w:szCs w:val="20"/>
                <w:lang w:val="en-US"/>
              </w:rPr>
              <w:t xml:space="preserve">Peatlands </w:t>
            </w:r>
            <w:r w:rsidR="006809B0" w:rsidRPr="006809B0">
              <w:rPr>
                <w:color w:val="000000"/>
                <w:sz w:val="20"/>
                <w:szCs w:val="20"/>
                <w:lang w:val="en-US"/>
              </w:rPr>
              <w:t xml:space="preserve">of the </w:t>
            </w:r>
            <w:r w:rsidR="00D92D59" w:rsidRPr="006809B0">
              <w:rPr>
                <w:color w:val="000000"/>
                <w:sz w:val="20"/>
                <w:szCs w:val="20"/>
                <w:lang w:val="en-US"/>
              </w:rPr>
              <w:t>subalpine to alpine zones</w:t>
            </w:r>
          </w:p>
        </w:tc>
      </w:tr>
      <w:tr w:rsidR="00F700EA" w:rsidRPr="00191F33" w:rsidTr="00F700EA">
        <w:trPr>
          <w:trHeight w:val="11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7120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Degraded raised bogs still capable of natural regeneration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1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7140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3394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Transition mires and quaking bogs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1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7150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01D4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Depressions on peat substrates of the Rhynchosporion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19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Coastal salt marshes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01D4" w:rsidP="00EE0245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Salicornia and other annuals colonizing mud and sand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6809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07.01 - 06 </w:t>
            </w:r>
            <w:r w:rsid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="00493FFC">
              <w:rPr>
                <w:rFonts w:eastAsia="Times New Roman" w:cs="Arial"/>
                <w:sz w:val="20"/>
                <w:szCs w:val="20"/>
                <w:lang w:val="en-US" w:eastAsia="de-DE"/>
              </w:rPr>
              <w:t>alt marshes of the North S</w:t>
            </w:r>
            <w:r w:rsid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ea</w:t>
            </w:r>
          </w:p>
        </w:tc>
      </w:tr>
      <w:tr w:rsidR="00F700EA" w:rsidRPr="006809B0" w:rsidTr="00F700EA">
        <w:trPr>
          <w:trHeight w:val="26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01D4" w:rsidP="005401D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Spartina swards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6809B0" w:rsidTr="00F700EA">
        <w:trPr>
          <w:trHeight w:val="189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01D4" w:rsidP="005401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Atlantic salt meadows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6809B0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1.3 </w:t>
            </w:r>
            <w:r w:rsidR="009E33C1" w:rsidRPr="006809B0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</w:t>
            </w:r>
            <w:r w:rsidR="009E33C1" w:rsidRPr="006809B0">
              <w:rPr>
                <w:rFonts w:cs="Arial"/>
                <w:sz w:val="20"/>
                <w:lang w:val="en-US"/>
              </w:rPr>
              <w:t>Open spaces with no or little vegetation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Beaches, dunes and sand plains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Annual vegetation of drift lines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09.02 - 05 </w:t>
            </w:r>
            <w:r w:rsidR="00886D2D">
              <w:rPr>
                <w:color w:val="000000"/>
                <w:sz w:val="20"/>
                <w:szCs w:val="20"/>
                <w:lang w:val="en-US"/>
              </w:rPr>
              <w:t>Sands, sand, shingle and boulder beaches</w:t>
            </w:r>
          </w:p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10.01 - 03 </w:t>
            </w:r>
            <w:r w:rsidR="00886D2D">
              <w:rPr>
                <w:color w:val="000000"/>
                <w:sz w:val="20"/>
                <w:szCs w:val="20"/>
                <w:lang w:val="en-US"/>
              </w:rPr>
              <w:t>Foredune, shifting dunes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 xml:space="preserve"> along the shoreline</w:t>
            </w:r>
            <w:r w:rsidR="00886D2D">
              <w:rPr>
                <w:color w:val="000000"/>
                <w:sz w:val="20"/>
                <w:szCs w:val="20"/>
                <w:lang w:val="en-US"/>
              </w:rPr>
              <w:t xml:space="preserve">, fixed dunes with grassland </w:t>
            </w:r>
          </w:p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10.05 </w:t>
            </w:r>
            <w:r w:rsidR="00886D2D">
              <w:rPr>
                <w:color w:val="000000"/>
                <w:sz w:val="20"/>
                <w:szCs w:val="20"/>
                <w:lang w:val="en-US"/>
              </w:rPr>
              <w:t>moist/wet dune valleys, including dune peatland</w:t>
            </w:r>
          </w:p>
          <w:p w:rsidR="00F700EA" w:rsidRPr="006809B0" w:rsidRDefault="00F700EA" w:rsidP="00886D2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10.07 </w:t>
            </w:r>
            <w:r w:rsidR="00886D2D">
              <w:rPr>
                <w:color w:val="000000"/>
                <w:sz w:val="20"/>
                <w:szCs w:val="20"/>
                <w:lang w:val="en-US"/>
              </w:rPr>
              <w:t>Mobile dunes</w:t>
            </w: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Perennial vegetation of stony banks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Embryonic shifting dunes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Shifting dunes along the shoreline with Ammophila arenaria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Fixed coastal dunes with herbaceous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2190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Humid dune slacks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Bare rock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Vegetated sea cliffs of the Atlantic and Baltic Coasts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Elements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 xml:space="preserve"> from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11.01 - 04 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Coastal cliffs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32. 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Rocks, inland cliffs, scree slopes, boulder fields and open areas with sandy or cohesive substrates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53n.11 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Walls and stone cairns</w:t>
            </w:r>
          </w:p>
          <w:p w:rsidR="00F700EA" w:rsidRPr="006809B0" w:rsidRDefault="00F700EA" w:rsidP="00EE024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62. 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Open rock of the subalpine to nival zones</w:t>
            </w:r>
          </w:p>
          <w:p w:rsidR="00F700EA" w:rsidRPr="006809B0" w:rsidRDefault="00F700EA" w:rsidP="0032018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63. </w:t>
            </w:r>
            <w:r w:rsidR="00320181">
              <w:rPr>
                <w:rFonts w:eastAsia="Times New Roman" w:cs="Arial"/>
                <w:sz w:val="20"/>
                <w:szCs w:val="20"/>
                <w:lang w:val="en-US" w:eastAsia="de-DE"/>
              </w:rPr>
              <w:t>Scree slopes and gravel banks of the subalpine to alpine zones</w:t>
            </w: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8110*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Siliceous scree of the montane to snow levels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8120*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Calcareous and calcshist screes of the montane to alpine levels 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8150*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Medio-European upland siliceous screes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8160*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Medio-European calcareous scree of hill and montane levels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8210*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Calcareous rocky slopes with chasmophytic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8220*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Siliceous rocky slopes with chasmophytic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8230*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Siliceous rock with pioneer vegetation of the Sedo-Scleranthion or of the Sedo albi-Veronicion dillenii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333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Sparsely vegetated areas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58350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1230-8230*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partly habitat types of </w:t>
            </w:r>
            <w:r w:rsidR="00F700EA"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CLC332*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46374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5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335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Glaciers and perpetual snow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8340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Permanent glaciers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1609A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61. Firn, permanent </w:t>
            </w:r>
            <w:r w:rsidR="00320181">
              <w:rPr>
                <w:rFonts w:eastAsia="Times New Roman" w:cs="Arial"/>
                <w:sz w:val="20"/>
                <w:szCs w:val="20"/>
                <w:lang w:val="en-US" w:eastAsia="de-DE"/>
              </w:rPr>
              <w:t>snow fields and glaciers</w:t>
            </w:r>
          </w:p>
        </w:tc>
      </w:tr>
      <w:tr w:rsidR="00F700EA" w:rsidRPr="006809B0" w:rsidTr="00F700EA">
        <w:trPr>
          <w:trHeight w:val="25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2F645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Forest and grove areas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9E33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2.1 </w:t>
            </w:r>
            <w:r w:rsidR="009E33C1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Forest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Broad-leaved forest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Luzulo-Fagetum beech forests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43. 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Deciduous and mixed woodlands and forest plantations</w:t>
            </w:r>
          </w:p>
          <w:p w:rsidR="00F700EA" w:rsidRPr="006809B0" w:rsidRDefault="00F700EA" w:rsidP="001609A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70.01 Subalpin</w:t>
            </w:r>
            <w:r w:rsidR="00320181">
              <w:rPr>
                <w:color w:val="000000"/>
                <w:sz w:val="20"/>
                <w:szCs w:val="20"/>
                <w:lang w:val="en-US"/>
              </w:rPr>
              <w:t>e sycamore-beech woodland</w:t>
            </w: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87422" w:rsidP="00F874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Atlantic acidophilous beech forests with Ilex and sometimes also Taxus in the shrublayer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Asperulo-Fagetum beech forests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Medio-European subalpine beechwoods with Acer and Rumex arifolius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9150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Medio-European limestone beechforests of the Cephalanthero-Fagion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B737D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Sub-Atlantic oak-hornbeam forests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9170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Galio-Carpinetum oak-hornbeam forests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9180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Tilio-Acerion forests of slopes, screes and ravines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9190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Old acidophilous oak woods with Quercus robur on sandy plains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91E0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B737D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Alluvial forests with Alnus glutinosa and Fraxinus excelsior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91F0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Riparian mixed forests of Quercus robur, Ulmus laevis and Ulmus minor, Fraxinus excelsior or Fraxinus angustifolia, along the great rivers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91G0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Pannonic woods with Quercus petraea and Carpinus betulus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Coniferous forest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91D0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B737D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Bog woodland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44.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Coniferous woodlands and forest plantations</w:t>
            </w:r>
          </w:p>
          <w:p w:rsidR="00F700EA" w:rsidRPr="006809B0" w:rsidRDefault="00F700EA" w:rsidP="001609A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70.02 - 70.04 Subalpine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 xml:space="preserve"> spruce, larch-Swiss stone pine and larch woodlands</w:t>
            </w:r>
          </w:p>
        </w:tc>
      </w:tr>
      <w:tr w:rsidR="00F700EA" w:rsidRPr="00191F33" w:rsidTr="00F700EA">
        <w:trPr>
          <w:trHeight w:val="56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91T0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9952A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Central European lichen Scots pine forests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56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91U0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9952A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Sarmatic steppe pine forest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56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9410</w:t>
            </w:r>
          </w:p>
        </w:tc>
        <w:tc>
          <w:tcPr>
            <w:tcW w:w="4253" w:type="dxa"/>
            <w:shd w:val="clear" w:color="auto" w:fill="auto"/>
          </w:tcPr>
          <w:p w:rsidR="009952A0" w:rsidRPr="006809B0" w:rsidRDefault="009952A0" w:rsidP="009952A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Acidophilous Picea forests of the montane to alpine levels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2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9420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9952A0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Larix decidua and/or Pinus cembra forests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6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Mixed forest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2180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9952A0" w:rsidP="00EE02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Wooded dunes of the Atlantic, Continental and Boreal region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8F109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43.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Deciduous and mixed woodlands and forest plantations</w:t>
            </w:r>
          </w:p>
          <w:p w:rsidR="00F700EA" w:rsidRPr="006809B0" w:rsidRDefault="00F700EA" w:rsidP="008F109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44.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Coniferous woodlands and forest plantations</w:t>
            </w:r>
          </w:p>
          <w:p w:rsidR="00F700EA" w:rsidRPr="006809B0" w:rsidRDefault="001609A1" w:rsidP="001609A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70 Subalpin</w:t>
            </w:r>
            <w:r>
              <w:rPr>
                <w:color w:val="000000"/>
                <w:sz w:val="20"/>
                <w:szCs w:val="20"/>
                <w:lang w:val="en-US"/>
              </w:rPr>
              <w:t>e woodlands</w:t>
            </w:r>
          </w:p>
        </w:tc>
      </w:tr>
      <w:tr w:rsidR="00F700EA" w:rsidRPr="00191F33" w:rsidTr="00F700EA">
        <w:trPr>
          <w:trHeight w:val="6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8110-8230*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9952A0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partly habitat types of</w:t>
            </w:r>
            <w:r w:rsidR="00F700EA" w:rsidRPr="006809B0">
              <w:rPr>
                <w:color w:val="000000"/>
                <w:sz w:val="20"/>
                <w:szCs w:val="20"/>
                <w:lang w:val="en-US"/>
              </w:rPr>
              <w:t xml:space="preserve"> CLC 332*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cantSplit/>
          <w:trHeight w:hRule="exact" w:val="85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700EA" w:rsidRPr="006809B0" w:rsidRDefault="00F700EA" w:rsidP="009E33C1">
            <w:pPr>
              <w:spacing w:after="0" w:line="240" w:lineRule="auto"/>
              <w:ind w:left="113" w:right="113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2.2 </w:t>
            </w:r>
            <w:r w:rsidR="009E33C1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Grove</w:t>
            </w: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Transitional woodland/shrub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07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Agricultural land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3.1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Arable land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Non-irrigated arable land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HNV-Ac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Arable land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33. </w:t>
            </w:r>
            <w:r w:rsidR="001609A1">
              <w:rPr>
                <w:rFonts w:eastAsia="Times New Roman" w:cs="Arial"/>
                <w:sz w:val="20"/>
                <w:szCs w:val="20"/>
                <w:lang w:val="en-US" w:eastAsia="de-DE"/>
              </w:rPr>
              <w:t>Arable land and fallow land</w:t>
            </w:r>
          </w:p>
          <w:p w:rsidR="00F700EA" w:rsidRPr="006809B0" w:rsidRDefault="00F700EA" w:rsidP="001609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41.07 </w:t>
            </w:r>
            <w:r w:rsidR="001609A1">
              <w:rPr>
                <w:rFonts w:eastAsia="Times New Roman" w:cs="Arial"/>
                <w:sz w:val="20"/>
                <w:szCs w:val="20"/>
                <w:lang w:val="en-US" w:eastAsia="de-DE"/>
              </w:rPr>
              <w:t>Tree and hop plantations</w:t>
            </w:r>
          </w:p>
        </w:tc>
      </w:tr>
      <w:tr w:rsidR="00F700EA" w:rsidRPr="00191F33" w:rsidTr="00F700EA">
        <w:trPr>
          <w:trHeight w:val="206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HNV-Br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color w:val="767171" w:themeColor="background2" w:themeShade="80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Set aside (from</w:t>
            </w:r>
            <w:r w:rsidR="006734EC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rable land)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767171" w:themeColor="background2" w:themeShade="80"/>
                <w:sz w:val="20"/>
                <w:szCs w:val="20"/>
                <w:lang w:val="en-US" w:eastAsia="de-DE"/>
              </w:rPr>
            </w:pPr>
          </w:p>
        </w:tc>
      </w:tr>
      <w:tr w:rsidR="00F700EA" w:rsidRPr="006809B0" w:rsidTr="00F700EA"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221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Vineyards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HNV-Re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Vineyards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1609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41.08.01 - 02 </w:t>
            </w:r>
            <w:r w:rsidR="001609A1">
              <w:rPr>
                <w:rFonts w:eastAsia="Times New Roman" w:cs="Arial"/>
                <w:sz w:val="20"/>
                <w:szCs w:val="20"/>
                <w:lang w:val="en-US" w:eastAsia="de-DE"/>
              </w:rPr>
              <w:t>Vineyards and fallow vineyards</w:t>
            </w:r>
          </w:p>
        </w:tc>
      </w:tr>
      <w:tr w:rsidR="00F700EA" w:rsidRPr="00191F33" w:rsidTr="00F700EA"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222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Fruit tree and berry plantations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HNV-Ob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Orchards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41.06 </w:t>
            </w:r>
            <w:r w:rsidR="001609A1">
              <w:rPr>
                <w:rFonts w:eastAsia="Times New Roman" w:cs="Arial"/>
                <w:sz w:val="20"/>
                <w:szCs w:val="20"/>
                <w:lang w:val="en-US" w:eastAsia="de-DE"/>
              </w:rPr>
              <w:t>Sparse orchard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41.07 </w:t>
            </w:r>
            <w:r w:rsidR="001609A1">
              <w:rPr>
                <w:rFonts w:eastAsia="Times New Roman" w:cs="Arial"/>
                <w:sz w:val="20"/>
                <w:szCs w:val="20"/>
                <w:lang w:val="en-US" w:eastAsia="de-DE"/>
              </w:rPr>
              <w:t>Tree and hop plantations</w:t>
            </w:r>
          </w:p>
        </w:tc>
      </w:tr>
      <w:tr w:rsidR="00F700EA" w:rsidRPr="00191F33" w:rsidTr="00F700EA">
        <w:trPr>
          <w:trHeight w:val="26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9E3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3.2 Gr</w:t>
            </w:r>
            <w:r w:rsidR="009E33C1"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assland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Pasture, meadows and other permanent grasslands under agricultural use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HNV-Gr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5F642D">
            <w:pPr>
              <w:spacing w:after="0" w:line="240" w:lineRule="auto"/>
              <w:rPr>
                <w:highlight w:val="yellow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Gr</w:t>
            </w:r>
            <w:r w:rsidR="005F642D" w:rsidRPr="006809B0">
              <w:rPr>
                <w:color w:val="000000"/>
                <w:sz w:val="20"/>
                <w:szCs w:val="20"/>
                <w:lang w:val="en-US"/>
              </w:rPr>
              <w:t>assland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Elements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 xml:space="preserve"> from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23.05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Water courses of technical nature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34.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Dry grasslands and grasslands of dry to humid sites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35.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>Grasslands of moist to wet sites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39.03 - 06 </w:t>
            </w:r>
            <w:r w:rsidR="001609A1">
              <w:rPr>
                <w:color w:val="000000"/>
                <w:sz w:val="20"/>
                <w:szCs w:val="20"/>
                <w:lang w:val="en-US"/>
              </w:rPr>
              <w:t xml:space="preserve">Riparian herbaceous </w:t>
            </w:r>
            <w:r w:rsidR="003A1674">
              <w:rPr>
                <w:color w:val="000000"/>
                <w:sz w:val="20"/>
                <w:szCs w:val="20"/>
                <w:lang w:val="en-US"/>
              </w:rPr>
              <w:t>fringes or vegetation and ruderal sites</w:t>
            </w:r>
          </w:p>
          <w:p w:rsidR="00F700EA" w:rsidRPr="006809B0" w:rsidRDefault="00F700EA" w:rsidP="003A167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41. </w:t>
            </w:r>
            <w:r w:rsidR="003A1674">
              <w:rPr>
                <w:color w:val="000000"/>
                <w:sz w:val="20"/>
                <w:szCs w:val="20"/>
                <w:lang w:val="en-US"/>
              </w:rPr>
              <w:t>Copses, thickets, scrub, hedges and cultivated woody plants</w:t>
            </w:r>
          </w:p>
        </w:tc>
      </w:tr>
      <w:tr w:rsidR="00F700EA" w:rsidRPr="006809B0" w:rsidTr="00F700EA">
        <w:trPr>
          <w:trHeight w:val="11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HNV-Br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Set aside (from</w:t>
            </w:r>
            <w:r w:rsidR="006734EC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rassland)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15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HNV-R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5F642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Ruderal and herbaceous plots and fringes, including tall herbaceous perennials and tall grasses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98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HNV-K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6734EC" w:rsidP="005F642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Complex elements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24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HNV-N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5F642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Natural stone and other dry stone walls, stone, rock, sand, clay and </w:t>
            </w:r>
            <w:r w:rsidR="006734EC">
              <w:rPr>
                <w:color w:val="000000"/>
                <w:sz w:val="20"/>
                <w:szCs w:val="20"/>
                <w:lang w:val="en-US"/>
              </w:rPr>
              <w:t>loess walls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124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6110-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br/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6520*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5F642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partly habitat types of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700EA" w:rsidRPr="006809B0">
              <w:rPr>
                <w:color w:val="000000"/>
                <w:sz w:val="20"/>
                <w:szCs w:val="20"/>
                <w:lang w:val="en-US"/>
              </w:rPr>
              <w:t xml:space="preserve">CLC 321 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>or</w:t>
            </w:r>
            <w:r w:rsidR="00F700EA" w:rsidRPr="006809B0">
              <w:rPr>
                <w:color w:val="000000"/>
                <w:sz w:val="20"/>
                <w:szCs w:val="20"/>
                <w:lang w:val="en-US"/>
              </w:rPr>
              <w:t xml:space="preserve"> CLC 332*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732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3.3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Heterogeneous agricultural area</w:t>
            </w: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242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Complex cultivation patterns</w:t>
            </w:r>
          </w:p>
        </w:tc>
        <w:tc>
          <w:tcPr>
            <w:tcW w:w="994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  <w:r w:rsidRPr="006809B0">
              <w:rPr>
                <w:rStyle w:val="Endnotenzeichen"/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  <w:endnoteReference w:id="2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</w:tr>
      <w:tr w:rsidR="00F700EA" w:rsidRPr="006809B0" w:rsidTr="00F700EA">
        <w:trPr>
          <w:trHeight w:val="1546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243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Land principally occupied by agriculture, with significant areas of natural vegetation</w:t>
            </w:r>
          </w:p>
        </w:tc>
        <w:tc>
          <w:tcPr>
            <w:tcW w:w="994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  <w:r w:rsidRPr="006809B0">
              <w:rPr>
                <w:rStyle w:val="Endnotenzeichen"/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  <w:endnoteReference w:id="3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331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Water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4.1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Streams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Water courses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3220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rivers and the herbaceous vegetation along their banks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23. </w:t>
            </w:r>
            <w:r w:rsidR="00963CC0">
              <w:rPr>
                <w:color w:val="000000"/>
                <w:sz w:val="20"/>
                <w:szCs w:val="20"/>
                <w:lang w:val="en-US"/>
              </w:rPr>
              <w:t>Surface running waters</w:t>
            </w:r>
          </w:p>
          <w:p w:rsidR="00F700EA" w:rsidRPr="006809B0" w:rsidRDefault="00F700EA" w:rsidP="00963CC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60.01 - 02 </w:t>
            </w:r>
            <w:r w:rsidR="00963CC0">
              <w:rPr>
                <w:color w:val="000000"/>
                <w:sz w:val="20"/>
                <w:szCs w:val="20"/>
                <w:lang w:val="en-US"/>
              </w:rPr>
              <w:t>Springs and running waters of the subalpine to alpine zones</w:t>
            </w: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rivers and their ligneous vegetation with Myricaria germanica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Alpine rivers and their ligneous vegetation with Salix elaeagnos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Water courses of plain to montane levels with the Ranunculion fluitantis and Callitricho-Batrachion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3270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Rivers with muddy banks with Chenopodion rubri p.p. and Bidention p.p.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HNV-G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Ditches, standing and flowing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HNV-W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5F642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Waterways, springs, streams including associated alder and ash woodlands up to 5 m breadth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4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4.2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Inland water bodies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Water bodies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5F64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Oligotrophic waters containing very few minerals of sandy plains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Elements</w:t>
            </w:r>
            <w:r w:rsidR="00963CC0">
              <w:rPr>
                <w:color w:val="000000"/>
                <w:sz w:val="20"/>
                <w:szCs w:val="20"/>
                <w:lang w:val="en-US"/>
              </w:rPr>
              <w:t xml:space="preserve"> from: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22. </w:t>
            </w:r>
            <w:r w:rsidR="00963CC0">
              <w:rPr>
                <w:color w:val="000000"/>
                <w:sz w:val="20"/>
                <w:szCs w:val="20"/>
                <w:lang w:val="en-US"/>
              </w:rPr>
              <w:t>Springs including the headstream zone</w:t>
            </w:r>
          </w:p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24. </w:t>
            </w:r>
            <w:r w:rsidR="00963CC0">
              <w:rPr>
                <w:rFonts w:eastAsia="Times New Roman" w:cs="Arial"/>
                <w:sz w:val="20"/>
                <w:szCs w:val="20"/>
                <w:lang w:val="en-US" w:eastAsia="de-DE"/>
              </w:rPr>
              <w:t>Surface standing waters</w:t>
            </w:r>
          </w:p>
          <w:p w:rsidR="00F700EA" w:rsidRPr="006809B0" w:rsidRDefault="00F700EA" w:rsidP="00963C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60.03 </w:t>
            </w:r>
            <w:r w:rsidR="00963CC0">
              <w:rPr>
                <w:rFonts w:eastAsia="Times New Roman" w:cs="Arial"/>
                <w:sz w:val="20"/>
                <w:szCs w:val="20"/>
                <w:lang w:val="en-US" w:eastAsia="de-DE"/>
              </w:rPr>
              <w:t>Standing waters of the subalpine to alpine zones</w:t>
            </w:r>
          </w:p>
        </w:tc>
      </w:tr>
      <w:tr w:rsidR="00F700EA" w:rsidRPr="00191F33" w:rsidTr="00F700EA">
        <w:trPr>
          <w:trHeight w:val="541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3130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Oligotrophic to mesotrophic standing waters with vegetation of the Littorelletea uniflorae and/or of the Isoëto-Nanojuncetea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3140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Hard oligo-mesotrophic waters with benthic vegetation of Chara spp.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3150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Natural eutrophic lakes with Magnopotamion or Hydrocharition - type vegetation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Natural dystrophic lakes and ponds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6809B0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3180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Turloughs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3190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Lakes of gypsum karst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37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HNV-T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Pools, ponds and weirs, eutrophied oxbows up to 1 ha size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4.3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Marine waters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Coastal lagoons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1150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Coastal lagoons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700EA" w:rsidRPr="006809B0" w:rsidRDefault="00F700EA" w:rsidP="00493FF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04. </w:t>
            </w:r>
            <w:r w:rsidR="00493FFC">
              <w:rPr>
                <w:color w:val="000000"/>
                <w:sz w:val="20"/>
                <w:szCs w:val="20"/>
                <w:lang w:val="en-US"/>
              </w:rPr>
              <w:t>Baltic Sea pelagic zone</w:t>
            </w:r>
          </w:p>
        </w:tc>
      </w:tr>
      <w:tr w:rsidR="00F700EA" w:rsidRPr="00191F33" w:rsidTr="00F700EA">
        <w:trPr>
          <w:trHeight w:val="6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311F6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partly habitat types o</w:t>
            </w:r>
            <w:r w:rsidR="00311F67"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</w:t>
            </w:r>
            <w:r w:rsidR="00F700EA" w:rsidRPr="006809B0">
              <w:rPr>
                <w:color w:val="000000"/>
                <w:sz w:val="20"/>
                <w:szCs w:val="20"/>
                <w:lang w:val="en-US"/>
              </w:rPr>
              <w:t xml:space="preserve"> CLC522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191F33" w:rsidTr="00F700EA">
        <w:trPr>
          <w:trHeight w:val="28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522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Estuaries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1130*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3188" w:rsidP="001B0BD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Estuaries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05. </w:t>
            </w:r>
            <w:r w:rsidR="00493FFC">
              <w:rPr>
                <w:color w:val="000000"/>
                <w:sz w:val="20"/>
                <w:szCs w:val="20"/>
                <w:lang w:val="en-US"/>
              </w:rPr>
              <w:t>Baltic Sea benthic zone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06. </w:t>
            </w:r>
            <w:r w:rsidR="00493FFC">
              <w:rPr>
                <w:color w:val="000000"/>
                <w:sz w:val="20"/>
                <w:szCs w:val="20"/>
                <w:lang w:val="en-US"/>
              </w:rPr>
              <w:t>Baltic Sea seasonal marine ice</w:t>
            </w:r>
          </w:p>
          <w:p w:rsidR="00F700EA" w:rsidRPr="006809B0" w:rsidRDefault="00F700EA" w:rsidP="0002246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07. </w:t>
            </w:r>
            <w:r w:rsidR="00493FFC">
              <w:rPr>
                <w:color w:val="000000"/>
                <w:sz w:val="20"/>
                <w:szCs w:val="20"/>
                <w:lang w:val="en-US"/>
              </w:rPr>
              <w:t xml:space="preserve">and 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08. </w:t>
            </w:r>
            <w:r w:rsidR="00493FFC">
              <w:rPr>
                <w:color w:val="000000"/>
                <w:sz w:val="20"/>
                <w:szCs w:val="20"/>
                <w:lang w:val="en-US"/>
              </w:rPr>
              <w:t>Salt marshes, brackish reedbeds and tall vegetation of the North Sea and the Baltic Sea</w:t>
            </w:r>
          </w:p>
          <w:p w:rsidR="00F700EA" w:rsidRPr="006809B0" w:rsidRDefault="00493FFC" w:rsidP="00873F1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09. </w:t>
            </w:r>
            <w:r w:rsidR="00873F1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Sands, sand, shingle and boulder beaches</w:t>
            </w:r>
          </w:p>
        </w:tc>
      </w:tr>
      <w:tr w:rsidR="00F700EA" w:rsidRPr="00191F33" w:rsidTr="00F700EA">
        <w:trPr>
          <w:trHeight w:val="134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Sea and ocean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1110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43188" w:rsidP="001B0BD7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Sandbanks which are slightly covered by sea water all the time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93FFC" w:rsidRDefault="00493FFC" w:rsidP="00022469">
            <w:pPr>
              <w:tabs>
                <w:tab w:val="left" w:pos="1673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Elements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from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F700EA" w:rsidRPr="006809B0" w:rsidRDefault="00F700EA" w:rsidP="00873F1C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01. </w:t>
            </w:r>
            <w:r w:rsidR="00873F1C">
              <w:rPr>
                <w:color w:val="000000"/>
                <w:sz w:val="20"/>
                <w:szCs w:val="20"/>
                <w:lang w:val="en-US"/>
              </w:rPr>
              <w:t>to 04. North Sea and Baltic Sea pelagic and sublittoral benthic zones</w:t>
            </w:r>
          </w:p>
        </w:tc>
      </w:tr>
      <w:tr w:rsidR="00F700EA" w:rsidRPr="00191F33" w:rsidTr="00F700EA">
        <w:trPr>
          <w:trHeight w:val="134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1160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F02A4C" w:rsidP="001B0BD7">
            <w:pPr>
              <w:tabs>
                <w:tab w:val="left" w:pos="1673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Large shallow inlets and bays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tabs>
                <w:tab w:val="left" w:pos="1673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00EA" w:rsidRPr="006809B0" w:rsidTr="00F700EA">
        <w:trPr>
          <w:trHeight w:val="117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1170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11F67" w:rsidP="001B0BD7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Reefs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116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1140*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11F67" w:rsidP="001B0BD7">
            <w:pPr>
              <w:tabs>
                <w:tab w:val="left" w:pos="1673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partly habitat types of</w:t>
            </w:r>
            <w:r w:rsidRPr="006809B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700EA" w:rsidRPr="006809B0">
              <w:rPr>
                <w:color w:val="000000"/>
                <w:sz w:val="20"/>
                <w:szCs w:val="20"/>
                <w:lang w:val="en-US"/>
              </w:rPr>
              <w:t xml:space="preserve"> CLC523</w:t>
            </w:r>
          </w:p>
        </w:tc>
        <w:tc>
          <w:tcPr>
            <w:tcW w:w="3685" w:type="dxa"/>
            <w:vMerge/>
            <w:shd w:val="clear" w:color="auto" w:fill="auto"/>
          </w:tcPr>
          <w:p w:rsidR="00F700EA" w:rsidRPr="006809B0" w:rsidRDefault="00F700EA" w:rsidP="001B0BD7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rPr>
          <w:trHeight w:val="246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423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Intertidal flats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1140*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311F67" w:rsidP="001B0BD7">
            <w:pPr>
              <w:tabs>
                <w:tab w:val="left" w:pos="1673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6809B0">
              <w:rPr>
                <w:sz w:val="20"/>
                <w:szCs w:val="20"/>
                <w:lang w:val="en-US"/>
              </w:rPr>
              <w:t>Mudflats and sandflats not covered by seawater at low tide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873F1C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color w:val="000000"/>
                <w:sz w:val="20"/>
                <w:szCs w:val="20"/>
                <w:lang w:val="en-US"/>
              </w:rPr>
              <w:t>0</w:t>
            </w:r>
            <w:r w:rsidR="00873F1C">
              <w:rPr>
                <w:color w:val="000000"/>
                <w:sz w:val="20"/>
                <w:szCs w:val="20"/>
                <w:lang w:val="en-US"/>
              </w:rPr>
              <w:t>2.01 North Sea eulittoral benthic zone (intertidal flats)</w:t>
            </w:r>
          </w:p>
        </w:tc>
      </w:tr>
      <w:tr w:rsidR="00F700EA" w:rsidRPr="00191F33" w:rsidTr="00F700EA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9E33C1" w:rsidRPr="006809B0" w:rsidRDefault="00F700EA" w:rsidP="009E33C1">
            <w:pPr>
              <w:pStyle w:val="bfnStandard"/>
              <w:spacing w:before="0"/>
              <w:jc w:val="center"/>
              <w:rPr>
                <w:rFonts w:cs="Arial"/>
                <w:sz w:val="20"/>
                <w:lang w:val="en-US"/>
              </w:rPr>
            </w:pPr>
            <w:r w:rsidRPr="006809B0">
              <w:rPr>
                <w:rFonts w:cs="Arial"/>
                <w:sz w:val="20"/>
                <w:lang w:val="en-US"/>
              </w:rPr>
              <w:t xml:space="preserve">5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Settlement and artificial</w:t>
            </w:r>
          </w:p>
          <w:p w:rsidR="00F700EA" w:rsidRPr="006809B0" w:rsidRDefault="009E33C1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cs="Arial"/>
                <w:sz w:val="20"/>
                <w:lang w:val="en-US"/>
              </w:rPr>
              <w:t>modified areas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5.1</w:t>
            </w:r>
            <w:r w:rsidRPr="006809B0">
              <w:rPr>
                <w:lang w:val="en-US"/>
              </w:rPr>
              <w:t xml:space="preserve">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Buildings and transportation area</w:t>
            </w: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Continuous urban fabric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227D01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Element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>s from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: </w:t>
            </w:r>
          </w:p>
          <w:p w:rsidR="00F700EA" w:rsidRPr="006809B0" w:rsidRDefault="00F700EA" w:rsidP="00A04C32">
            <w:pPr>
              <w:tabs>
                <w:tab w:val="left" w:pos="167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53n.03.01 - 02, 53n.04.01 - 02 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>Historic city centre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>modern city centre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>inner city block development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F700EA" w:rsidRPr="00191F33" w:rsidTr="00F700EA">
        <w:trPr>
          <w:trHeight w:val="60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Discontinuous urban fabric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Elements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from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: </w:t>
            </w:r>
          </w:p>
          <w:p w:rsidR="00F700EA" w:rsidRPr="006809B0" w:rsidRDefault="00F700EA" w:rsidP="00ED16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53n.04.03 - 53.07n </w:t>
            </w:r>
            <w:r w:rsidR="00A04C32">
              <w:rPr>
                <w:rFonts w:eastAsia="Times New Roman" w:cs="Arial"/>
                <w:sz w:val="20"/>
                <w:szCs w:val="20"/>
                <w:lang w:val="en-US" w:eastAsia="de-DE"/>
              </w:rPr>
              <w:t>Linear development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ED1617">
              <w:rPr>
                <w:rFonts w:eastAsia="Times New Roman" w:cs="Arial"/>
                <w:sz w:val="20"/>
                <w:szCs w:val="20"/>
                <w:lang w:val="en-US" w:eastAsia="de-DE"/>
              </w:rPr>
              <w:t>high rise buildings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ED1617">
              <w:rPr>
                <w:rFonts w:eastAsia="Times New Roman" w:cs="Arial"/>
                <w:sz w:val="20"/>
                <w:szCs w:val="20"/>
                <w:lang w:val="en-US" w:eastAsia="de-DE"/>
              </w:rPr>
              <w:t>villa district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ED1617">
              <w:rPr>
                <w:rFonts w:eastAsia="Times New Roman" w:cs="Arial"/>
                <w:sz w:val="20"/>
                <w:szCs w:val="20"/>
                <w:lang w:val="en-US" w:eastAsia="de-DE"/>
              </w:rPr>
              <w:t>row houses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ED1617">
              <w:rPr>
                <w:rFonts w:eastAsia="Times New Roman" w:cs="Arial"/>
                <w:sz w:val="20"/>
                <w:szCs w:val="20"/>
                <w:lang w:val="en-US" w:eastAsia="de-DE"/>
              </w:rPr>
              <w:t>new developments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ED1617">
              <w:rPr>
                <w:rFonts w:eastAsia="Times New Roman" w:cs="Arial"/>
                <w:sz w:val="20"/>
                <w:szCs w:val="20"/>
                <w:lang w:val="en-US" w:eastAsia="de-DE"/>
              </w:rPr>
              <w:t>village areas</w:t>
            </w:r>
          </w:p>
        </w:tc>
      </w:tr>
      <w:tr w:rsidR="00F700EA" w:rsidRPr="00191F33" w:rsidTr="00F700EA"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Industrial and commercial units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F33D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53n.09, 53n.10 </w:t>
            </w:r>
            <w:r w:rsidR="00F33DCF">
              <w:rPr>
                <w:rFonts w:eastAsia="Times New Roman" w:cs="Arial"/>
                <w:sz w:val="20"/>
                <w:szCs w:val="20"/>
                <w:lang w:val="en-US" w:eastAsia="de-DE"/>
              </w:rPr>
              <w:t>Industrial and commercial units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F33DCF">
              <w:rPr>
                <w:rFonts w:eastAsia="Times New Roman" w:cs="Arial"/>
                <w:sz w:val="20"/>
                <w:szCs w:val="20"/>
                <w:lang w:val="en-US" w:eastAsia="de-DE"/>
              </w:rPr>
              <w:t>Supply and waste management</w:t>
            </w:r>
          </w:p>
        </w:tc>
      </w:tr>
      <w:tr w:rsidR="00F700EA" w:rsidRPr="00191F33" w:rsidTr="00F700EA"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Road and rail networks and associated land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HNV-U</w:t>
            </w:r>
          </w:p>
        </w:tc>
        <w:tc>
          <w:tcPr>
            <w:tcW w:w="4253" w:type="dxa"/>
            <w:shd w:val="clear" w:color="auto" w:fill="auto"/>
          </w:tcPr>
          <w:p w:rsidR="00F700EA" w:rsidRPr="006809B0" w:rsidRDefault="005F642D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Unsurfaced farm lanes/sunken lanes</w:t>
            </w: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Elements</w:t>
            </w:r>
            <w:r w:rsidR="00F33DCF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from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: </w:t>
            </w:r>
          </w:p>
          <w:p w:rsidR="00F700EA" w:rsidRPr="006809B0" w:rsidRDefault="00F700EA" w:rsidP="00F33D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52. </w:t>
            </w:r>
            <w:r w:rsidR="00F33DCF">
              <w:rPr>
                <w:rFonts w:eastAsia="Times New Roman" w:cs="Arial"/>
                <w:sz w:val="20"/>
                <w:szCs w:val="20"/>
                <w:lang w:val="en-US" w:eastAsia="de-DE"/>
              </w:rPr>
              <w:t>Transport infrastructure and town squares</w:t>
            </w:r>
          </w:p>
        </w:tc>
      </w:tr>
      <w:tr w:rsidR="00F700EA" w:rsidRPr="006809B0" w:rsidTr="00F700EA"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Port areas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F33D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52.04.02 </w:t>
            </w:r>
            <w:r w:rsidR="00F33DCF">
              <w:rPr>
                <w:rFonts w:eastAsia="Times New Roman" w:cs="Arial"/>
                <w:sz w:val="20"/>
                <w:szCs w:val="20"/>
                <w:lang w:val="en-US" w:eastAsia="de-DE"/>
              </w:rPr>
              <w:t>Port facilities, quais</w:t>
            </w:r>
          </w:p>
        </w:tc>
      </w:tr>
      <w:tr w:rsidR="00F700EA" w:rsidRPr="00191F33" w:rsidTr="00F700EA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Airports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4367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52.01.01, 52.01.08n.03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sealed traffic route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well-managed functional grassland</w:t>
            </w:r>
          </w:p>
        </w:tc>
      </w:tr>
      <w:tr w:rsidR="00F700EA" w:rsidRPr="006809B0" w:rsidTr="00F700EA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Construction sites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F700EA" w:rsidRPr="00191F33" w:rsidTr="00F700EA"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5.2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Mining and dump sites</w:t>
            </w: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Mineral extraction sites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436722" w:rsidRDefault="00F700EA" w:rsidP="004367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32.11.04 - 32.11.08.n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mineral workings</w:t>
            </w:r>
          </w:p>
          <w:p w:rsidR="00F700EA" w:rsidRPr="006809B0" w:rsidRDefault="00F700EA" w:rsidP="004367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36.04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peat workings</w:t>
            </w:r>
          </w:p>
        </w:tc>
      </w:tr>
      <w:tr w:rsidR="00F700EA" w:rsidRPr="00191F33" w:rsidTr="00F700EA">
        <w:trPr>
          <w:trHeight w:val="849"/>
        </w:trPr>
        <w:tc>
          <w:tcPr>
            <w:tcW w:w="562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Dump sites</w:t>
            </w:r>
          </w:p>
        </w:tc>
        <w:tc>
          <w:tcPr>
            <w:tcW w:w="994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F700EA" w:rsidRPr="006809B0" w:rsidRDefault="00F700EA" w:rsidP="000224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32.11.01 - 03 + 05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spoil heaps</w:t>
            </w:r>
          </w:p>
          <w:p w:rsidR="00F700EA" w:rsidRPr="006809B0" w:rsidRDefault="00F700EA" w:rsidP="004367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54. </w:t>
            </w:r>
            <w:r w:rsidR="00436722">
              <w:rPr>
                <w:rFonts w:eastAsia="Times New Roman" w:cs="Arial"/>
                <w:sz w:val="20"/>
                <w:szCs w:val="20"/>
                <w:lang w:val="en-US" w:eastAsia="de-DE"/>
              </w:rPr>
              <w:t>Landfill sites and wastewater wetlands</w:t>
            </w:r>
          </w:p>
        </w:tc>
      </w:tr>
      <w:tr w:rsidR="00F700EA" w:rsidRPr="00191F33" w:rsidTr="00F700EA">
        <w:trPr>
          <w:trHeight w:val="563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lang w:val="en-US"/>
              </w:rPr>
              <w:t>5.3</w:t>
            </w: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="009E33C1" w:rsidRPr="006809B0">
              <w:rPr>
                <w:rFonts w:cs="Arial"/>
                <w:sz w:val="20"/>
                <w:lang w:val="en-US"/>
              </w:rPr>
              <w:t xml:space="preserve"> Urban vegetated areas</w:t>
            </w: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141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Green urban area</w:t>
            </w:r>
          </w:p>
        </w:tc>
        <w:tc>
          <w:tcPr>
            <w:tcW w:w="994" w:type="dxa"/>
            <w:shd w:val="clear" w:color="auto" w:fill="FFFFFF" w:themeFill="background1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700EA" w:rsidRPr="006809B0" w:rsidRDefault="00F700EA" w:rsidP="000224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09B0">
              <w:rPr>
                <w:sz w:val="20"/>
                <w:szCs w:val="20"/>
                <w:lang w:val="en-US"/>
              </w:rPr>
              <w:t>Elements</w:t>
            </w:r>
            <w:r w:rsidR="00436722">
              <w:rPr>
                <w:sz w:val="20"/>
                <w:szCs w:val="20"/>
                <w:lang w:val="en-US"/>
              </w:rPr>
              <w:t xml:space="preserve"> from</w:t>
            </w:r>
            <w:r w:rsidRPr="006809B0">
              <w:rPr>
                <w:sz w:val="20"/>
                <w:szCs w:val="20"/>
                <w:lang w:val="en-US"/>
              </w:rPr>
              <w:t xml:space="preserve">: </w:t>
            </w:r>
          </w:p>
          <w:p w:rsidR="00F700EA" w:rsidRPr="006809B0" w:rsidRDefault="00F700EA" w:rsidP="0043672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09B0">
              <w:rPr>
                <w:sz w:val="20"/>
                <w:szCs w:val="20"/>
                <w:lang w:val="en-US"/>
              </w:rPr>
              <w:t xml:space="preserve">51.06n, 51.07n </w:t>
            </w:r>
            <w:r w:rsidR="00436722">
              <w:rPr>
                <w:sz w:val="20"/>
                <w:szCs w:val="20"/>
                <w:lang w:val="en-US"/>
              </w:rPr>
              <w:t>Park and green space</w:t>
            </w:r>
          </w:p>
        </w:tc>
      </w:tr>
      <w:tr w:rsidR="00F700EA" w:rsidRPr="00191F33" w:rsidTr="00F700EA">
        <w:trPr>
          <w:trHeight w:val="702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F700EA" w:rsidRPr="006809B0" w:rsidRDefault="00F700EA" w:rsidP="001B0BD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6809B0">
              <w:rPr>
                <w:rFonts w:eastAsia="Times New Roman" w:cs="Arial"/>
                <w:sz w:val="20"/>
                <w:szCs w:val="20"/>
                <w:lang w:val="en-US" w:eastAsia="de-DE"/>
              </w:rPr>
              <w:t>Sport and leisure facilities</w:t>
            </w:r>
          </w:p>
        </w:tc>
        <w:tc>
          <w:tcPr>
            <w:tcW w:w="994" w:type="dxa"/>
            <w:shd w:val="clear" w:color="auto" w:fill="FFFFFF" w:themeFill="background1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F700EA" w:rsidRPr="006809B0" w:rsidRDefault="00F700EA" w:rsidP="001B0BD7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700EA" w:rsidRPr="006809B0" w:rsidRDefault="00F700EA" w:rsidP="0043672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09B0">
              <w:rPr>
                <w:sz w:val="20"/>
                <w:szCs w:val="20"/>
                <w:lang w:val="en-US"/>
              </w:rPr>
              <w:t xml:space="preserve">51.11n </w:t>
            </w:r>
            <w:r w:rsidR="00436722">
              <w:rPr>
                <w:sz w:val="20"/>
                <w:szCs w:val="20"/>
                <w:lang w:val="en-US"/>
              </w:rPr>
              <w:t>sports grounds, playgrounds, recreation areas</w:t>
            </w:r>
          </w:p>
        </w:tc>
      </w:tr>
    </w:tbl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436722" w:rsidRDefault="00436722" w:rsidP="00D10B04">
      <w:pPr>
        <w:spacing w:before="120"/>
        <w:rPr>
          <w:lang w:val="en-US"/>
        </w:rPr>
      </w:pPr>
    </w:p>
    <w:p w:rsidR="00D10B04" w:rsidRPr="006809B0" w:rsidRDefault="00D10B04" w:rsidP="00D10B04">
      <w:pPr>
        <w:spacing w:before="120"/>
        <w:rPr>
          <w:lang w:val="en-US"/>
        </w:rPr>
      </w:pPr>
      <w:r w:rsidRPr="006809B0">
        <w:rPr>
          <w:lang w:val="en-US"/>
        </w:rPr>
        <w:t xml:space="preserve">* </w:t>
      </w:r>
      <w:r w:rsidR="00AE42D2">
        <w:rPr>
          <w:lang w:val="en-US"/>
        </w:rPr>
        <w:t>S</w:t>
      </w:r>
      <w:r w:rsidR="00436722">
        <w:rPr>
          <w:lang w:val="en-US"/>
        </w:rPr>
        <w:t xml:space="preserve">ome </w:t>
      </w:r>
      <w:r w:rsidRPr="006809B0">
        <w:rPr>
          <w:lang w:val="en-US"/>
        </w:rPr>
        <w:t>CLC-</w:t>
      </w:r>
      <w:r w:rsidR="00436722">
        <w:rPr>
          <w:lang w:val="en-US"/>
        </w:rPr>
        <w:t>t</w:t>
      </w:r>
      <w:r w:rsidRPr="006809B0">
        <w:rPr>
          <w:lang w:val="en-US"/>
        </w:rPr>
        <w:t>ype</w:t>
      </w:r>
      <w:r w:rsidR="00436722">
        <w:rPr>
          <w:lang w:val="en-US"/>
        </w:rPr>
        <w:t xml:space="preserve">s contain less area </w:t>
      </w:r>
      <w:r w:rsidR="00AE42D2">
        <w:rPr>
          <w:lang w:val="en-US"/>
        </w:rPr>
        <w:t xml:space="preserve">(regarding the LBM-DE statistics) </w:t>
      </w:r>
      <w:r w:rsidR="00436722">
        <w:rPr>
          <w:lang w:val="en-US"/>
        </w:rPr>
        <w:t>than the allocated habitats</w:t>
      </w:r>
      <w:r w:rsidRPr="006809B0">
        <w:rPr>
          <w:lang w:val="en-US"/>
        </w:rPr>
        <w:t xml:space="preserve">. In </w:t>
      </w:r>
      <w:r w:rsidR="00AE42D2">
        <w:rPr>
          <w:lang w:val="en-US"/>
        </w:rPr>
        <w:t>such cases, the overmuch area is allocated partially to other CLC types</w:t>
      </w:r>
      <w:r w:rsidR="00485A61" w:rsidRPr="006809B0">
        <w:rPr>
          <w:lang w:val="en-US"/>
        </w:rPr>
        <w:t>:</w:t>
      </w:r>
      <w:r w:rsidRPr="006809B0">
        <w:rPr>
          <w:lang w:val="en-US"/>
        </w:rPr>
        <w:t xml:space="preserve"> </w:t>
      </w:r>
      <w:r w:rsidR="00AE42D2">
        <w:rPr>
          <w:lang w:val="en-US"/>
        </w:rPr>
        <w:t xml:space="preserve">The overmuch area of CLC </w:t>
      </w:r>
      <w:r w:rsidRPr="006809B0">
        <w:rPr>
          <w:lang w:val="en-US"/>
        </w:rPr>
        <w:t xml:space="preserve">321 (natural grasslands) </w:t>
      </w:r>
      <w:r w:rsidR="00AE42D2">
        <w:rPr>
          <w:lang w:val="en-US"/>
        </w:rPr>
        <w:t xml:space="preserve">comes to CLC </w:t>
      </w:r>
      <w:r w:rsidRPr="006809B0">
        <w:rPr>
          <w:lang w:val="en-US"/>
        </w:rPr>
        <w:t xml:space="preserve">231 (pastures, meadows ...); </w:t>
      </w:r>
      <w:r w:rsidR="00AE42D2">
        <w:rPr>
          <w:lang w:val="en-US"/>
        </w:rPr>
        <w:t xml:space="preserve">the overmuch area of CLC </w:t>
      </w:r>
      <w:r w:rsidRPr="006809B0">
        <w:rPr>
          <w:lang w:val="en-US"/>
        </w:rPr>
        <w:t xml:space="preserve">423 (intertidal flats) </w:t>
      </w:r>
      <w:r w:rsidR="00AE42D2">
        <w:rPr>
          <w:lang w:val="en-US"/>
        </w:rPr>
        <w:t xml:space="preserve">comes to </w:t>
      </w:r>
      <w:r w:rsidRPr="006809B0">
        <w:rPr>
          <w:lang w:val="en-US"/>
        </w:rPr>
        <w:t>CLC 523 (sea and ocean)</w:t>
      </w:r>
      <w:r w:rsidR="00045CB5" w:rsidRPr="006809B0">
        <w:rPr>
          <w:lang w:val="en-US"/>
        </w:rPr>
        <w:t xml:space="preserve">; </w:t>
      </w:r>
      <w:r w:rsidR="00AE42D2">
        <w:rPr>
          <w:lang w:val="en-US"/>
        </w:rPr>
        <w:t>the overmuch area of CLC</w:t>
      </w:r>
      <w:r w:rsidR="00045CB5" w:rsidRPr="006809B0">
        <w:rPr>
          <w:lang w:val="en-US"/>
        </w:rPr>
        <w:t xml:space="preserve"> 522 </w:t>
      </w:r>
      <w:r w:rsidR="00AE42D2">
        <w:rPr>
          <w:lang w:val="en-US"/>
        </w:rPr>
        <w:t xml:space="preserve">comes to CLC </w:t>
      </w:r>
      <w:r w:rsidR="00045CB5" w:rsidRPr="006809B0">
        <w:rPr>
          <w:lang w:val="en-US"/>
        </w:rPr>
        <w:t>521</w:t>
      </w:r>
      <w:r w:rsidR="00485A61" w:rsidRPr="006809B0">
        <w:rPr>
          <w:lang w:val="en-US"/>
        </w:rPr>
        <w:t>.</w:t>
      </w:r>
      <w:r w:rsidRPr="006809B0">
        <w:rPr>
          <w:lang w:val="en-US"/>
        </w:rPr>
        <w:t xml:space="preserve"> </w:t>
      </w:r>
      <w:r w:rsidR="00AE42D2">
        <w:rPr>
          <w:lang w:val="en-US"/>
        </w:rPr>
        <w:t xml:space="preserve">The overmuch area of CLC </w:t>
      </w:r>
      <w:r w:rsidRPr="006809B0">
        <w:rPr>
          <w:lang w:val="en-US"/>
        </w:rPr>
        <w:t xml:space="preserve">332 (bare rock) </w:t>
      </w:r>
      <w:r w:rsidR="00AE42D2">
        <w:rPr>
          <w:lang w:val="en-US"/>
        </w:rPr>
        <w:t xml:space="preserve">comes partially to CLC </w:t>
      </w:r>
      <w:r w:rsidRPr="006809B0">
        <w:rPr>
          <w:lang w:val="en-US"/>
        </w:rPr>
        <w:t>333 (sparsely vegetated areas)</w:t>
      </w:r>
      <w:r w:rsidR="00AE42D2">
        <w:rPr>
          <w:lang w:val="en-US"/>
        </w:rPr>
        <w:t>;</w:t>
      </w:r>
      <w:r w:rsidRPr="006809B0">
        <w:rPr>
          <w:lang w:val="en-US"/>
        </w:rPr>
        <w:t xml:space="preserve"> </w:t>
      </w:r>
      <w:r w:rsidR="00AE42D2">
        <w:rPr>
          <w:lang w:val="en-US"/>
        </w:rPr>
        <w:t>but there are some more area remaining, which will be allocated to CLC</w:t>
      </w:r>
      <w:r w:rsidRPr="006809B0">
        <w:rPr>
          <w:lang w:val="en-US"/>
        </w:rPr>
        <w:t xml:space="preserve"> 31</w:t>
      </w:r>
      <w:r w:rsidR="00485A61" w:rsidRPr="006809B0">
        <w:rPr>
          <w:lang w:val="en-US"/>
        </w:rPr>
        <w:t>x</w:t>
      </w:r>
      <w:r w:rsidRPr="006809B0">
        <w:rPr>
          <w:lang w:val="en-US"/>
        </w:rPr>
        <w:t xml:space="preserve"> (woods and forest). </w:t>
      </w:r>
      <w:r w:rsidR="005B20E4" w:rsidRPr="006809B0">
        <w:rPr>
          <w:lang w:val="en-US"/>
        </w:rPr>
        <w:br/>
      </w:r>
      <w:r w:rsidR="00AE42D2">
        <w:rPr>
          <w:lang w:val="en-US"/>
        </w:rPr>
        <w:t>The aim is</w:t>
      </w:r>
      <w:r w:rsidRPr="006809B0">
        <w:rPr>
          <w:lang w:val="en-US"/>
        </w:rPr>
        <w:t xml:space="preserve">, </w:t>
      </w:r>
      <w:r w:rsidR="00AE42D2">
        <w:rPr>
          <w:lang w:val="en-US"/>
        </w:rPr>
        <w:t xml:space="preserve">to find a habitats’ combination for each </w:t>
      </w:r>
      <w:r w:rsidRPr="006809B0">
        <w:rPr>
          <w:lang w:val="en-US"/>
        </w:rPr>
        <w:t>CLC</w:t>
      </w:r>
      <w:r w:rsidR="00AE42D2">
        <w:rPr>
          <w:lang w:val="en-US"/>
        </w:rPr>
        <w:t xml:space="preserve"> t</w:t>
      </w:r>
      <w:r w:rsidRPr="006809B0">
        <w:rPr>
          <w:lang w:val="en-US"/>
        </w:rPr>
        <w:t xml:space="preserve">ype </w:t>
      </w:r>
      <w:r w:rsidR="00AE42D2">
        <w:rPr>
          <w:lang w:val="en-US"/>
        </w:rPr>
        <w:t>that approximates its real composition. The nature conservation values of the allocated NATURA 2000</w:t>
      </w:r>
      <w:r w:rsidR="00AF02CC">
        <w:rPr>
          <w:lang w:val="en-US"/>
        </w:rPr>
        <w:t>,</w:t>
      </w:r>
      <w:r w:rsidR="00AE42D2">
        <w:rPr>
          <w:lang w:val="en-US"/>
        </w:rPr>
        <w:t xml:space="preserve"> </w:t>
      </w:r>
      <w:r w:rsidRPr="006809B0">
        <w:rPr>
          <w:lang w:val="en-US"/>
        </w:rPr>
        <w:t>HNV</w:t>
      </w:r>
      <w:r w:rsidR="00AE42D2">
        <w:rPr>
          <w:lang w:val="en-US"/>
        </w:rPr>
        <w:t xml:space="preserve"> </w:t>
      </w:r>
      <w:r w:rsidR="00AF02CC">
        <w:rPr>
          <w:lang w:val="en-US"/>
        </w:rPr>
        <w:t xml:space="preserve">or national </w:t>
      </w:r>
      <w:r w:rsidR="00AE42D2">
        <w:rPr>
          <w:lang w:val="en-US"/>
        </w:rPr>
        <w:t xml:space="preserve">habitat types contribute to the </w:t>
      </w:r>
      <w:r w:rsidR="00AF02CC">
        <w:rPr>
          <w:lang w:val="en-US"/>
        </w:rPr>
        <w:t xml:space="preserve">total </w:t>
      </w:r>
      <w:r w:rsidR="00AE42D2">
        <w:rPr>
          <w:lang w:val="en-US"/>
        </w:rPr>
        <w:t xml:space="preserve">value of the </w:t>
      </w:r>
      <w:r w:rsidR="00AF02CC">
        <w:rPr>
          <w:lang w:val="en-US"/>
        </w:rPr>
        <w:t>respecting CLC type. They remain applicable for the e</w:t>
      </w:r>
      <w:r w:rsidRPr="006809B0">
        <w:rPr>
          <w:lang w:val="en-US"/>
        </w:rPr>
        <w:t>cosystem</w:t>
      </w:r>
      <w:r w:rsidR="00AF02CC">
        <w:rPr>
          <w:lang w:val="en-US"/>
        </w:rPr>
        <w:t xml:space="preserve"> a</w:t>
      </w:r>
      <w:r w:rsidRPr="006809B0">
        <w:rPr>
          <w:lang w:val="en-US"/>
        </w:rPr>
        <w:t>ccounting (</w:t>
      </w:r>
      <w:r w:rsidR="00AF02CC">
        <w:rPr>
          <w:lang w:val="en-US"/>
        </w:rPr>
        <w:t>e.g. for the c</w:t>
      </w:r>
      <w:r w:rsidRPr="006809B0">
        <w:rPr>
          <w:lang w:val="en-US"/>
        </w:rPr>
        <w:t>ondition</w:t>
      </w:r>
      <w:r w:rsidR="00AF02CC">
        <w:rPr>
          <w:lang w:val="en-US"/>
        </w:rPr>
        <w:t xml:space="preserve"> a</w:t>
      </w:r>
      <w:r w:rsidRPr="006809B0">
        <w:rPr>
          <w:lang w:val="en-US"/>
        </w:rPr>
        <w:t>ccount)</w:t>
      </w:r>
      <w:r w:rsidR="00AF02CC">
        <w:rPr>
          <w:lang w:val="en-US"/>
        </w:rPr>
        <w:t xml:space="preserve"> as well</w:t>
      </w:r>
      <w:r w:rsidRPr="006809B0">
        <w:rPr>
          <w:lang w:val="en-US"/>
        </w:rPr>
        <w:t>.</w:t>
      </w:r>
    </w:p>
    <w:sectPr w:rsidR="00D10B04" w:rsidRPr="006809B0">
      <w:footerReference w:type="default" r:id="rId8"/>
      <w:pgSz w:w="16838" w:h="11906" w:orient="landscape"/>
      <w:pgMar w:top="1417" w:right="1417" w:bottom="1417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39" w:rsidRDefault="00150439">
      <w:pPr>
        <w:spacing w:after="0" w:line="240" w:lineRule="auto"/>
      </w:pPr>
      <w:r>
        <w:separator/>
      </w:r>
    </w:p>
  </w:endnote>
  <w:endnote w:type="continuationSeparator" w:id="0">
    <w:p w:rsidR="00150439" w:rsidRDefault="00150439">
      <w:pPr>
        <w:spacing w:after="0" w:line="240" w:lineRule="auto"/>
      </w:pPr>
      <w:r>
        <w:continuationSeparator/>
      </w:r>
    </w:p>
  </w:endnote>
  <w:endnote w:id="1">
    <w:p w:rsidR="00150439" w:rsidRDefault="00150439">
      <w:pPr>
        <w:pStyle w:val="Endnotentext"/>
      </w:pPr>
      <w:r>
        <w:rPr>
          <w:rStyle w:val="Endnotenzeichen"/>
        </w:rPr>
        <w:endnoteRef/>
      </w:r>
      <w:r>
        <w:t xml:space="preserve"> Mengel et al. (2018): Methodik der Eingriffsregelung im bundesweiten Vergleich. Bonn – Bad Godesberg (Bundesamt für Naturschutz) Naturschutz und Biologische Vielfalt Heft 165.</w:t>
      </w:r>
    </w:p>
  </w:endnote>
  <w:endnote w:id="2">
    <w:p w:rsidR="00150439" w:rsidRDefault="00150439">
      <w:pPr>
        <w:pStyle w:val="Endnotentext"/>
      </w:pPr>
      <w:r>
        <w:rPr>
          <w:rStyle w:val="Endnotenzeichen"/>
        </w:rPr>
        <w:endnoteRef/>
      </w:r>
      <w:r>
        <w:t xml:space="preserve"> Zu dieser Kategorie erfolgt keine Zuordnung von HNV- FFH- oder Biotoptypen, weil LBM-DE aktuell keine Flächen in Deutschland ausweist</w:t>
      </w:r>
    </w:p>
  </w:endnote>
  <w:endnote w:id="3">
    <w:p w:rsidR="00150439" w:rsidRDefault="00150439">
      <w:pPr>
        <w:pStyle w:val="Endnotentext"/>
      </w:pPr>
      <w:r>
        <w:rPr>
          <w:rStyle w:val="Endnotenzeichen"/>
        </w:rPr>
        <w:endnoteRef/>
      </w:r>
      <w:r>
        <w:t xml:space="preserve"> Zu dieser Kategorie erfolgt keine Zuordnung von HNV- FFH- oder Biotoptypen, weil LBM-DE aktuell keine Flächen in Deutschland ausweist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653184"/>
      <w:docPartObj>
        <w:docPartGallery w:val="Page Numbers (Bottom of Page)"/>
        <w:docPartUnique/>
      </w:docPartObj>
    </w:sdtPr>
    <w:sdtEndPr/>
    <w:sdtContent>
      <w:p w:rsidR="00150439" w:rsidRDefault="00150439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91F33">
          <w:rPr>
            <w:noProof/>
          </w:rPr>
          <w:t>2</w:t>
        </w:r>
        <w:r>
          <w:fldChar w:fldCharType="end"/>
        </w:r>
      </w:p>
    </w:sdtContent>
  </w:sdt>
  <w:p w:rsidR="00150439" w:rsidRDefault="00150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39" w:rsidRDefault="00150439">
      <w:pPr>
        <w:spacing w:after="0" w:line="240" w:lineRule="auto"/>
      </w:pPr>
      <w:r>
        <w:separator/>
      </w:r>
    </w:p>
  </w:footnote>
  <w:footnote w:type="continuationSeparator" w:id="0">
    <w:p w:rsidR="00150439" w:rsidRDefault="0015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E6C"/>
    <w:multiLevelType w:val="multilevel"/>
    <w:tmpl w:val="27F6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F"/>
    <w:rsid w:val="00017A08"/>
    <w:rsid w:val="00022469"/>
    <w:rsid w:val="00045CB5"/>
    <w:rsid w:val="000512DF"/>
    <w:rsid w:val="00070F35"/>
    <w:rsid w:val="0008243D"/>
    <w:rsid w:val="00150439"/>
    <w:rsid w:val="00153591"/>
    <w:rsid w:val="001609A1"/>
    <w:rsid w:val="00161539"/>
    <w:rsid w:val="00191F33"/>
    <w:rsid w:val="00192AB7"/>
    <w:rsid w:val="001A26BB"/>
    <w:rsid w:val="001A4B1F"/>
    <w:rsid w:val="001B0BD7"/>
    <w:rsid w:val="001C1AA6"/>
    <w:rsid w:val="002208A8"/>
    <w:rsid w:val="00227D01"/>
    <w:rsid w:val="002505B5"/>
    <w:rsid w:val="00256895"/>
    <w:rsid w:val="00256948"/>
    <w:rsid w:val="002B5D56"/>
    <w:rsid w:val="002F6452"/>
    <w:rsid w:val="00302425"/>
    <w:rsid w:val="00311F67"/>
    <w:rsid w:val="00320181"/>
    <w:rsid w:val="0033078A"/>
    <w:rsid w:val="00332BA4"/>
    <w:rsid w:val="00340DEB"/>
    <w:rsid w:val="003454F2"/>
    <w:rsid w:val="003A1674"/>
    <w:rsid w:val="003F2A68"/>
    <w:rsid w:val="00406418"/>
    <w:rsid w:val="004226B8"/>
    <w:rsid w:val="004312AE"/>
    <w:rsid w:val="00436722"/>
    <w:rsid w:val="00461E05"/>
    <w:rsid w:val="00463740"/>
    <w:rsid w:val="00485A61"/>
    <w:rsid w:val="00493FFC"/>
    <w:rsid w:val="004B6BB1"/>
    <w:rsid w:val="004C0EB2"/>
    <w:rsid w:val="004E5FE3"/>
    <w:rsid w:val="004F216D"/>
    <w:rsid w:val="00503189"/>
    <w:rsid w:val="00521BFC"/>
    <w:rsid w:val="005401D4"/>
    <w:rsid w:val="00543188"/>
    <w:rsid w:val="0058350E"/>
    <w:rsid w:val="00591D47"/>
    <w:rsid w:val="005B20E4"/>
    <w:rsid w:val="005D5501"/>
    <w:rsid w:val="005E4D0E"/>
    <w:rsid w:val="005F642D"/>
    <w:rsid w:val="00653A88"/>
    <w:rsid w:val="006565BD"/>
    <w:rsid w:val="006734EC"/>
    <w:rsid w:val="006809B0"/>
    <w:rsid w:val="006A7F5C"/>
    <w:rsid w:val="006B3961"/>
    <w:rsid w:val="006B3A41"/>
    <w:rsid w:val="006D77A6"/>
    <w:rsid w:val="006E5DEF"/>
    <w:rsid w:val="00702974"/>
    <w:rsid w:val="00722F10"/>
    <w:rsid w:val="007401EA"/>
    <w:rsid w:val="00741A4B"/>
    <w:rsid w:val="00780F55"/>
    <w:rsid w:val="00787B90"/>
    <w:rsid w:val="00790C31"/>
    <w:rsid w:val="007920CC"/>
    <w:rsid w:val="007B6ECC"/>
    <w:rsid w:val="007D6EE3"/>
    <w:rsid w:val="007E14A6"/>
    <w:rsid w:val="0084769C"/>
    <w:rsid w:val="00851955"/>
    <w:rsid w:val="0085793F"/>
    <w:rsid w:val="008620D4"/>
    <w:rsid w:val="00873F1C"/>
    <w:rsid w:val="00886D2D"/>
    <w:rsid w:val="008F109B"/>
    <w:rsid w:val="00963CC0"/>
    <w:rsid w:val="00975F05"/>
    <w:rsid w:val="009952A0"/>
    <w:rsid w:val="009A07BF"/>
    <w:rsid w:val="009A1B55"/>
    <w:rsid w:val="009A6E2F"/>
    <w:rsid w:val="009D5333"/>
    <w:rsid w:val="009E33C1"/>
    <w:rsid w:val="009E5B2A"/>
    <w:rsid w:val="00A04C32"/>
    <w:rsid w:val="00A35AE4"/>
    <w:rsid w:val="00A7665F"/>
    <w:rsid w:val="00A962B6"/>
    <w:rsid w:val="00AD2540"/>
    <w:rsid w:val="00AE42D2"/>
    <w:rsid w:val="00AF02CC"/>
    <w:rsid w:val="00B0186E"/>
    <w:rsid w:val="00B50C80"/>
    <w:rsid w:val="00B737D0"/>
    <w:rsid w:val="00BF763B"/>
    <w:rsid w:val="00C222F2"/>
    <w:rsid w:val="00C240AA"/>
    <w:rsid w:val="00C3403B"/>
    <w:rsid w:val="00C35ABF"/>
    <w:rsid w:val="00C3633E"/>
    <w:rsid w:val="00C6132F"/>
    <w:rsid w:val="00C62152"/>
    <w:rsid w:val="00C6297B"/>
    <w:rsid w:val="00C835A8"/>
    <w:rsid w:val="00C856F8"/>
    <w:rsid w:val="00CB515E"/>
    <w:rsid w:val="00CC5456"/>
    <w:rsid w:val="00D06FEE"/>
    <w:rsid w:val="00D10B04"/>
    <w:rsid w:val="00D24781"/>
    <w:rsid w:val="00D5188B"/>
    <w:rsid w:val="00D92D59"/>
    <w:rsid w:val="00DB7540"/>
    <w:rsid w:val="00DE5CE3"/>
    <w:rsid w:val="00E07CF5"/>
    <w:rsid w:val="00ED1617"/>
    <w:rsid w:val="00EE0245"/>
    <w:rsid w:val="00EF576F"/>
    <w:rsid w:val="00F02A4C"/>
    <w:rsid w:val="00F33944"/>
    <w:rsid w:val="00F33DCF"/>
    <w:rsid w:val="00F700EA"/>
    <w:rsid w:val="00F87422"/>
    <w:rsid w:val="00F90BFE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B200-583D-4B5B-8A3E-C1CC00B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C02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B550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B550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B550C"/>
    <w:rPr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E711F"/>
  </w:style>
  <w:style w:type="character" w:customStyle="1" w:styleId="FuzeileZchn">
    <w:name w:val="Fußzeile Zchn"/>
    <w:basedOn w:val="Absatz-Standardschriftart"/>
    <w:link w:val="Fuzeile"/>
    <w:uiPriority w:val="99"/>
    <w:qFormat/>
    <w:rsid w:val="00CE711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C02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B550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B550C"/>
    <w:rPr>
      <w:b/>
      <w:bCs/>
    </w:rPr>
  </w:style>
  <w:style w:type="paragraph" w:styleId="Listenabsatz">
    <w:name w:val="List Paragraph"/>
    <w:basedOn w:val="Standard"/>
    <w:uiPriority w:val="34"/>
    <w:qFormat/>
    <w:rsid w:val="00DC7E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711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E711F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9F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06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90BF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0BF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0BF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10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10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109B"/>
    <w:rPr>
      <w:vertAlign w:val="superscript"/>
    </w:rPr>
  </w:style>
  <w:style w:type="paragraph" w:customStyle="1" w:styleId="bfnStandard">
    <w:name w:val="bfn_Standard"/>
    <w:basedOn w:val="Standard"/>
    <w:qFormat/>
    <w:rsid w:val="009E33C1"/>
    <w:pPr>
      <w:widowControl w:val="0"/>
      <w:autoSpaceDE w:val="0"/>
      <w:autoSpaceDN w:val="0"/>
      <w:adjustRightInd w:val="0"/>
      <w:spacing w:before="120" w:after="0" w:line="264" w:lineRule="auto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A2">
    <w:name w:val="A2"/>
    <w:uiPriority w:val="99"/>
    <w:rsid w:val="009E33C1"/>
    <w:rPr>
      <w:rFonts w:cs="Myriad Pro"/>
      <w:color w:val="8BAB80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2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7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0BF0-C2FB-48ED-94B3-4CFF8D1C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ökologische Raumentwicklung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Grunewald</dc:creator>
  <cp:keywords/>
  <dc:description/>
  <cp:lastModifiedBy>Karsten Grunewald</cp:lastModifiedBy>
  <cp:revision>2</cp:revision>
  <cp:lastPrinted>2020-01-21T12:37:00Z</cp:lastPrinted>
  <dcterms:created xsi:type="dcterms:W3CDTF">2019-08-12T13:00:00Z</dcterms:created>
  <dcterms:modified xsi:type="dcterms:W3CDTF">2020-04-08T15:52:00Z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Leibniz-Institut für ökologische Raumentwicklung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